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517A" w14:textId="6ACE3461" w:rsidR="00A53C81" w:rsidRPr="00AE6F70" w:rsidRDefault="00C15915" w:rsidP="00AE6F70">
      <w:pPr>
        <w:jc w:val="center"/>
        <w:rPr>
          <w:b/>
          <w:bCs/>
        </w:rPr>
      </w:pPr>
      <w:r>
        <w:rPr>
          <w:b/>
          <w:bCs/>
        </w:rPr>
        <w:t>Responses to comments</w:t>
      </w:r>
      <w:r w:rsidR="00AE6F70" w:rsidRPr="00AE6F70">
        <w:rPr>
          <w:b/>
          <w:bCs/>
        </w:rPr>
        <w:t xml:space="preserve"> from Wellhead Power </w:t>
      </w:r>
      <w:proofErr w:type="spellStart"/>
      <w:r w:rsidR="00AE6F70" w:rsidRPr="00AE6F70">
        <w:rPr>
          <w:b/>
          <w:bCs/>
        </w:rPr>
        <w:t>eXchange</w:t>
      </w:r>
      <w:proofErr w:type="spellEnd"/>
      <w:r w:rsidR="00AE6F70" w:rsidRPr="00AE6F70">
        <w:rPr>
          <w:b/>
          <w:bCs/>
        </w:rPr>
        <w:br/>
      </w:r>
    </w:p>
    <w:p w14:paraId="58C43B8D" w14:textId="417A4685" w:rsidR="00F758A5" w:rsidRDefault="00F758A5" w:rsidP="00F758A5">
      <w:r w:rsidRPr="00EB17BB">
        <w:t xml:space="preserve">It is the ISO’s understanding that the charging tables seek to model certain contingency conditions regardless of whether the condition materialized or not. </w:t>
      </w:r>
      <w:r>
        <w:t xml:space="preserve">The Transmission Induced Generator Outage nature of work only captures instances where transmission or distribution equipment outages </w:t>
      </w:r>
      <w:proofErr w:type="gramStart"/>
      <w:r>
        <w:t>in</w:t>
      </w:r>
      <w:proofErr w:type="gramEnd"/>
      <w:r>
        <w:t xml:space="preserve"> fact materialized and curtailed generator output. </w:t>
      </w:r>
      <w:r w:rsidRPr="00EB17BB">
        <w:t>Routine charging constraints faced by distribution-interconnected storage assets are not related to materialized transmission or distribution equipment failures, even if the charging constraints themselves seek to model a situation where such an outage were to take place. The charging limitations faced by these assets stem from the resource’s choices to interconnect via a distribution utility as well as the charging service choices made during that interconnection. While the exact charging constraints may have been unknown upon interconnection, the potential existence of charging constraints was agreed on by resources. The “Transmission Induced” nature of work generator outage is “to be used if Transmission equipment outage curtails a generator output, or distribution equipment outage in the case of distribution-connected generator,” as outlined in Outage Management BPM § 3.4. If a distribution-interconnected asset faces the causes described in the “Transmission Induced” nature of work’s definition, it may utilize such nature of work.</w:t>
      </w:r>
    </w:p>
    <w:p w14:paraId="1B82D0C6" w14:textId="77777777" w:rsidR="006B53FA" w:rsidRDefault="006B53FA" w:rsidP="006B53FA">
      <w:r>
        <w:t xml:space="preserve">For resources shown for Flexible resource adequacy, the charging constraints routinely faced by some distribution-interconnected market-participating resources may and do affect the fulfillment of their resource adequacy obligations. </w:t>
      </w:r>
      <w:r w:rsidRPr="00F758A5">
        <w:t xml:space="preserve">The present PRR clarifies which nature of work to use in a specific scenario </w:t>
      </w:r>
      <w:proofErr w:type="gramStart"/>
      <w:r w:rsidRPr="00F758A5">
        <w:t>in order to</w:t>
      </w:r>
      <w:proofErr w:type="gramEnd"/>
      <w:r w:rsidRPr="00F758A5">
        <w:t xml:space="preserve"> enforce existing resource adequacy policy. </w:t>
      </w:r>
    </w:p>
    <w:p w14:paraId="7B2D7692" w14:textId="6C416BCD" w:rsidR="00F758A5" w:rsidRDefault="00F758A5" w:rsidP="00F758A5">
      <w:r w:rsidRPr="00EB17BB">
        <w:t>Transmission-level resources are in fact not similarly situated relative to distribution-level market-participating resources. This is because transmission-level resources have interconnected in a manner that ensures delivery to the ISO-controlled grid whereas distribution-level market-participating resources have interconnected through a third party, the distribution utility</w:t>
      </w:r>
      <w:r>
        <w:t xml:space="preserve">. </w:t>
      </w:r>
      <w:r w:rsidRPr="00EB17BB">
        <w:t>As a result, the latter resources have different obligations (such as complying with both the ISO tariff and the relevant interconnection tariff of the applicable distribution utility) and constraints.</w:t>
      </w:r>
      <w:r>
        <w:t xml:space="preserve"> In so far as those differences affect availability, t</w:t>
      </w:r>
      <w:r w:rsidRPr="00F758A5">
        <w:t>he present PRR clarifies which nature of work to use in a specific scenario in order to enforce existing resource adequacy policy</w:t>
      </w:r>
      <w:r>
        <w:t xml:space="preserve"> since, f</w:t>
      </w:r>
      <w:r w:rsidRPr="00F758A5">
        <w:t xml:space="preserve">or resources shown for Flexible resource adequacy, the charging constraints routinely faced by some distribution-interconnected market-participating resources may and do affect the fulfillment of their resource adequacy obligations. </w:t>
      </w:r>
    </w:p>
    <w:p w14:paraId="1A2AC3E4" w14:textId="70CEE067" w:rsidR="00F758A5" w:rsidRPr="00AE6F70" w:rsidRDefault="00F758A5" w:rsidP="00F758A5">
      <w:pPr>
        <w:rPr>
          <w:b/>
          <w:bCs/>
        </w:rPr>
      </w:pPr>
      <w:r w:rsidRPr="00EB17BB">
        <w:lastRenderedPageBreak/>
        <w:t xml:space="preserve">The charging limitations faced by these assets stem from the resource’s choices to interconnect via a distribution utility as well as the charging service choices made during that interconnection. The fact that a </w:t>
      </w:r>
      <w:r w:rsidRPr="00F758A5">
        <w:t>Contingency Management System</w:t>
      </w:r>
      <w:r w:rsidRPr="00EB17BB">
        <w:t xml:space="preserve"> </w:t>
      </w:r>
      <w:r>
        <w:t>(</w:t>
      </w:r>
      <w:r w:rsidRPr="00EB17BB">
        <w:t>CMS</w:t>
      </w:r>
      <w:r>
        <w:t xml:space="preserve">) </w:t>
      </w:r>
      <w:r w:rsidRPr="00EB17BB">
        <w:t xml:space="preserve">being put in place by the distribution utility may </w:t>
      </w:r>
      <w:r>
        <w:t>reduce</w:t>
      </w:r>
      <w:r w:rsidRPr="00EB17BB">
        <w:t xml:space="preserve"> the need to reflect unavailability via outage cards is immaterial. If those enhancements are pursued by the distribution utility, then assets facing those limitations may no longer need to use outage cards. The present PRR merely seeks to clarify which nature of work should be utilized at the present time.</w:t>
      </w:r>
    </w:p>
    <w:p w14:paraId="08D6E034" w14:textId="76FCE2CA" w:rsidR="00AE6F70" w:rsidRPr="00AE6F70" w:rsidRDefault="00C15915" w:rsidP="00AE6F70">
      <w:pPr>
        <w:jc w:val="center"/>
        <w:rPr>
          <w:b/>
          <w:bCs/>
        </w:rPr>
      </w:pPr>
      <w:r>
        <w:rPr>
          <w:b/>
          <w:bCs/>
        </w:rPr>
        <w:t>Responses to c</w:t>
      </w:r>
      <w:r w:rsidR="00AE6F70" w:rsidRPr="00AE6F70">
        <w:rPr>
          <w:b/>
          <w:bCs/>
        </w:rPr>
        <w:t>omments from Fullmark Energy (also known as Hecate Grid LLC)</w:t>
      </w:r>
    </w:p>
    <w:p w14:paraId="4E94AEDA" w14:textId="379ADC9F" w:rsidR="00A15E90" w:rsidRDefault="00A15E90">
      <w:r>
        <w:t xml:space="preserve">For resources shown for Flexible resource adequacy, the charging constraints routinely faced by some distribution-interconnected market-participating resources may and do affect the fulfillment of their resource adequacy obligations. </w:t>
      </w:r>
      <w:r w:rsidR="00F758A5" w:rsidRPr="00F758A5">
        <w:t xml:space="preserve">The present PRR clarifies which nature of work to use in a specific scenario </w:t>
      </w:r>
      <w:proofErr w:type="gramStart"/>
      <w:r w:rsidR="00F758A5" w:rsidRPr="00F758A5">
        <w:t>in order to</w:t>
      </w:r>
      <w:proofErr w:type="gramEnd"/>
      <w:r w:rsidR="00F758A5" w:rsidRPr="00F758A5">
        <w:t xml:space="preserve"> enforce existing resource adequacy policy. </w:t>
      </w:r>
    </w:p>
    <w:p w14:paraId="639AB18B" w14:textId="77777777" w:rsidR="00F758A5" w:rsidRDefault="00F758A5" w:rsidP="00F758A5">
      <w:r w:rsidRPr="00EB17BB">
        <w:t>Transmission-level resources are in fact not similarly situated relative to distribution-level market-participating resources. This is because transmission-level resources have interconnected in a manner that ensures delivery to the ISO-controlled grid whereas distribution-level market-participating resources have interconnected through a third party, the distribution utility</w:t>
      </w:r>
      <w:r>
        <w:t xml:space="preserve">. </w:t>
      </w:r>
      <w:r w:rsidRPr="00EB17BB">
        <w:t>As a result, the latter resources have different obligations (such as complying with both the ISO tariff and the relevant interconnection tariff of the applicable distribution utility) and constraints.</w:t>
      </w:r>
      <w:r>
        <w:t xml:space="preserve"> In so far as those differences affect availability, t</w:t>
      </w:r>
      <w:r w:rsidRPr="00F758A5">
        <w:t>he present PRR clarifies which nature of work to use in a specific scenario in order to enforce existing resource adequacy policy</w:t>
      </w:r>
      <w:r>
        <w:t xml:space="preserve"> since, f</w:t>
      </w:r>
      <w:r w:rsidRPr="00F758A5">
        <w:t xml:space="preserve">or resources shown for Flexible resource adequacy, the charging constraints routinely faced by some distribution-interconnected market-participating resources may and do affect the fulfillment of their resource adequacy obligations. </w:t>
      </w:r>
    </w:p>
    <w:p w14:paraId="1D89AAF7" w14:textId="25AC8EC1" w:rsidR="00AE6F70" w:rsidRDefault="00A15E90">
      <w:pPr>
        <w:rPr>
          <w:b/>
          <w:bCs/>
        </w:rPr>
      </w:pPr>
      <w:r w:rsidRPr="00A15E90">
        <w:t>The present PRR merely seeks to clarify which nature of work should be utilized at the present time</w:t>
      </w:r>
      <w:r>
        <w:t xml:space="preserve">, not </w:t>
      </w:r>
      <w:proofErr w:type="gramStart"/>
      <w:r>
        <w:t>develop</w:t>
      </w:r>
      <w:proofErr w:type="gramEnd"/>
      <w:r>
        <w:t xml:space="preserve"> a new nature of work which would be a modification of policy. </w:t>
      </w:r>
      <w:r w:rsidR="00AE6F70">
        <w:rPr>
          <w:b/>
          <w:bCs/>
        </w:rPr>
        <w:br w:type="page"/>
      </w:r>
    </w:p>
    <w:p w14:paraId="3FB12C9E" w14:textId="7381215E" w:rsidR="00EB17BB" w:rsidRPr="00A15E90" w:rsidRDefault="00C15915" w:rsidP="00C15915">
      <w:pPr>
        <w:jc w:val="center"/>
        <w:rPr>
          <w:b/>
          <w:bCs/>
        </w:rPr>
      </w:pPr>
      <w:r>
        <w:rPr>
          <w:b/>
          <w:bCs/>
        </w:rPr>
        <w:lastRenderedPageBreak/>
        <w:t>Responses to c</w:t>
      </w:r>
      <w:r w:rsidR="00AE6F70" w:rsidRPr="00AE6F70">
        <w:rPr>
          <w:b/>
          <w:bCs/>
        </w:rPr>
        <w:t>omments from Terra-Gen</w:t>
      </w:r>
    </w:p>
    <w:p w14:paraId="4BC71146" w14:textId="62E939DF" w:rsidR="007D6C7E" w:rsidRDefault="007D6C7E" w:rsidP="007D6C7E">
      <w:r>
        <w:t xml:space="preserve">For resources shown for Flexible resource adequacy, the charging constraints routinely faced by some distribution-interconnected market-participating resources </w:t>
      </w:r>
      <w:r w:rsidR="00160EAE">
        <w:t>can</w:t>
      </w:r>
      <w:r>
        <w:t xml:space="preserve"> affect the fulfillment of their resource adequacy obligations. </w:t>
      </w:r>
      <w:r w:rsidRPr="00F758A5">
        <w:t xml:space="preserve">The present PRR </w:t>
      </w:r>
      <w:r w:rsidR="00031EEE">
        <w:t xml:space="preserve">reinforced existing resource adequacy policy by clarifying </w:t>
      </w:r>
      <w:r w:rsidRPr="00F758A5">
        <w:t xml:space="preserve">which nature of work to use </w:t>
      </w:r>
      <w:r w:rsidR="00031EEE">
        <w:t>when storage resources have outages relating to charging limitations that are not caused by an outage on transmission or distribution elements</w:t>
      </w:r>
      <w:r w:rsidRPr="00F758A5">
        <w:t xml:space="preserve">. </w:t>
      </w:r>
    </w:p>
    <w:p w14:paraId="5326B001" w14:textId="285E1E58" w:rsidR="007D6C7E" w:rsidRDefault="007D6C7E" w:rsidP="007D6C7E">
      <w:r>
        <w:t>The ISO notes that i</w:t>
      </w:r>
      <w:r w:rsidRPr="007D6C7E">
        <w:t xml:space="preserve">t is possible a resource’s scheduling </w:t>
      </w:r>
      <w:proofErr w:type="gramStart"/>
      <w:r w:rsidRPr="007D6C7E">
        <w:t>coordinator reasonably</w:t>
      </w:r>
      <w:proofErr w:type="gramEnd"/>
      <w:r w:rsidRPr="007D6C7E">
        <w:t xml:space="preserve"> could foresee at the time of flexible RA supply plan submission that operating limitations would prevent the resource from meeting the must-offer obligation </w:t>
      </w:r>
      <w:r w:rsidR="00031EEE" w:rsidRPr="007D6C7E">
        <w:t xml:space="preserve">with feasible bids </w:t>
      </w:r>
      <w:r w:rsidRPr="007D6C7E">
        <w:t xml:space="preserve">for the resource’s full EFC value in the minimum qualified category established on the final EFC list. In such instances, the resource should </w:t>
      </w:r>
      <w:r>
        <w:t xml:space="preserve">ensure it is </w:t>
      </w:r>
      <w:r w:rsidRPr="007D6C7E">
        <w:t>shown in the RA process for the MWs of flexible capacity in the category whose must-offer obligation the scheduling coordinator reasonably expects can be met with feasible bids.</w:t>
      </w:r>
    </w:p>
    <w:p w14:paraId="5767B885" w14:textId="77777777" w:rsidR="007F07BB" w:rsidRDefault="007F07BB" w:rsidP="007F07BB">
      <w:r w:rsidRPr="00EB17BB">
        <w:t>Transmission-level resources are in fact not similarly situated relative to distribution-level market-participating resources. This is because transmission-level resources have interconnected in a manner that ensures delivery to the ISO-controlled grid whereas distribution-level market-participating resources have interconnected through a third party, the distribution utility</w:t>
      </w:r>
      <w:r>
        <w:t xml:space="preserve">. </w:t>
      </w:r>
      <w:r w:rsidRPr="00EB17BB">
        <w:t>As a result, the latter resources have different obligations (such as complying with both the ISO tariff and the relevant interconnection tariff of the applicable distribution utility) and constraints.</w:t>
      </w:r>
      <w:r>
        <w:t xml:space="preserve"> In so far as those differences affect availability, t</w:t>
      </w:r>
      <w:r w:rsidRPr="00F758A5">
        <w:t>he present PRR clarifies which nature of work to use in a specific scenario in order to enforce existing resource adequacy policy</w:t>
      </w:r>
      <w:r>
        <w:t xml:space="preserve"> since, f</w:t>
      </w:r>
      <w:r w:rsidRPr="00F758A5">
        <w:t xml:space="preserve">or resources shown for Flexible resource adequacy, the charging constraints routinely faced by some distribution-interconnected market-participating resources may and do affect the fulfillment of their resource adequacy obligations. </w:t>
      </w:r>
    </w:p>
    <w:p w14:paraId="4283A5A4" w14:textId="0F831AAC" w:rsidR="00EB17BB" w:rsidRDefault="00EB17BB">
      <w:pPr>
        <w:rPr>
          <w:b/>
          <w:bCs/>
        </w:rPr>
      </w:pPr>
    </w:p>
    <w:p w14:paraId="4D46EE20" w14:textId="77777777" w:rsidR="007D6C7E" w:rsidRDefault="007D6C7E">
      <w:pPr>
        <w:rPr>
          <w:b/>
          <w:bCs/>
        </w:rPr>
      </w:pPr>
      <w:r>
        <w:rPr>
          <w:b/>
          <w:bCs/>
        </w:rPr>
        <w:br w:type="page"/>
      </w:r>
    </w:p>
    <w:p w14:paraId="1D2C47CE" w14:textId="27496FAB" w:rsidR="00AE6F70" w:rsidRPr="00AE6F70" w:rsidRDefault="00C15915" w:rsidP="00AE6F70">
      <w:pPr>
        <w:jc w:val="center"/>
        <w:rPr>
          <w:b/>
          <w:bCs/>
        </w:rPr>
      </w:pPr>
      <w:r>
        <w:rPr>
          <w:b/>
          <w:bCs/>
        </w:rPr>
        <w:lastRenderedPageBreak/>
        <w:t xml:space="preserve">Responses to </w:t>
      </w:r>
      <w:r w:rsidR="00AE6F70" w:rsidRPr="00AE6F70">
        <w:rPr>
          <w:b/>
          <w:bCs/>
        </w:rPr>
        <w:t>Comments from Strata</w:t>
      </w:r>
    </w:p>
    <w:p w14:paraId="3BAE079E" w14:textId="5DDB594F" w:rsidR="007D6C7E" w:rsidRPr="007D6C7E" w:rsidRDefault="007D6C7E" w:rsidP="007D6C7E">
      <w:r w:rsidRPr="007D6C7E">
        <w:t xml:space="preserve">It is the ISO’s understanding that the charging tables seek to model certain contingency conditions regardless of whether the condition materialized or not. The Transmission Induced Generator Outage nature of work only captures instances where transmission or distribution equipment outages </w:t>
      </w:r>
      <w:proofErr w:type="gramStart"/>
      <w:r w:rsidRPr="007D6C7E">
        <w:t>in</w:t>
      </w:r>
      <w:proofErr w:type="gramEnd"/>
      <w:r w:rsidRPr="007D6C7E">
        <w:t xml:space="preserve"> fact materialized and curtailed generator output. Routine charging constraints faced by distribution-interconnected storage assets are not related to materialized transmission or distribution equipment failures, even if the charging constraints themselves seek to model a situation where such an outage were to take place. The charging limitations faced by these assets stem from the resource’s choices to interconnect via a distribution utility as well as the charging service choices made during that interconnection. While the exact charging constraints may have been unknown upon interconnection, the potential existence of charging constraints was agreed on by resources. While the unavailability may be driven by assumed rather than materialized conditions, for resources shown for Flexible resource adequacy, the charging constraints routinely faced by some distribution-interconnected market-participating resources may and do affect the fulfillment of their resource adequacy obligations.</w:t>
      </w:r>
    </w:p>
    <w:p w14:paraId="22B04FD6" w14:textId="6B6C7824" w:rsidR="007D6C7E" w:rsidRDefault="007D6C7E" w:rsidP="007D6C7E">
      <w:r w:rsidRPr="007D6C7E">
        <w:t>The “Transmission Induced” nature of work generator outage is “to be used if Transmission equipment outage curtails a generator output, or distribution equipment outage in the case of distribution-connected generator,” as outlined in Outage Management BPM § 3.4. The “Transmission Induced” nature of work does not apply unless there is an outage on transmission or distribution equipment under the current nature of work definition.  This PRR proposes no edits to the “transmission induced” nature of work purpose.  Routine charging constraints faced by distribution-interconnected storage assets are not related to materialized transmission or distribution equipment failures, even if the charging constraints themselves seek to model a situation where such an outage were to take place. The charging limitations faced by these assets stem from the resource’s choices to interconnect via a distribution utility as well as the charging service choices made during that interconnection. While the exact charging constraints may have been unknown upon interconnection, the potential existence of charging constraints was agreed on by resources. If a distribution-interconnected asset faces the causes described in the “Transmission Induced” nature of work’s definition, it may utilize such nature of work.</w:t>
      </w:r>
    </w:p>
    <w:p w14:paraId="6CBAF21A" w14:textId="77777777" w:rsidR="007D6C7E" w:rsidRPr="00AE6F70" w:rsidRDefault="007D6C7E" w:rsidP="007D6C7E">
      <w:pPr>
        <w:rPr>
          <w:b/>
          <w:bCs/>
        </w:rPr>
      </w:pPr>
      <w:r w:rsidRPr="007D6C7E">
        <w:t xml:space="preserve">The driver behind routine charging constraints faced by distribution-interconnected storage assets is the agreement between the distribution utility and the resource upon interconnection. The “Technical Limitations not in Market Model” nature of work generator outage is to “provide notification that resource is unavailable due to technical limitations not captured in the CAISO market model and that result in infeasible dispatches because </w:t>
      </w:r>
      <w:r w:rsidRPr="007D6C7E">
        <w:lastRenderedPageBreak/>
        <w:t xml:space="preserve">they are inconsistent with the resource’s design capabilities,” as outlined in Outage Management BPM § 3.4.  Resources agreed to interconnect with a level of service where the distribution utility can issue charging constraints as needed to ensure delivery of load.  These limitations are consistent with the “resource’s design capabilities,” and therefore the “technical limitations not in Market Model” nature of work does not apply.  </w:t>
      </w:r>
      <w:r w:rsidRPr="00EB17BB">
        <w:t xml:space="preserve">The charging limitations faced by these assets stem from the resource’s choices to interconnect via a distribution utility as well as the charging service choices made during that interconnection. The fact that a </w:t>
      </w:r>
      <w:r w:rsidRPr="00F758A5">
        <w:t>Contingency Management System</w:t>
      </w:r>
      <w:r w:rsidRPr="00EB17BB">
        <w:t xml:space="preserve"> </w:t>
      </w:r>
      <w:r>
        <w:t>(</w:t>
      </w:r>
      <w:r w:rsidRPr="00EB17BB">
        <w:t>CMS</w:t>
      </w:r>
      <w:r>
        <w:t xml:space="preserve">) </w:t>
      </w:r>
      <w:r w:rsidRPr="00EB17BB">
        <w:t xml:space="preserve">being put in place by the distribution utility may </w:t>
      </w:r>
      <w:r>
        <w:t>reduce</w:t>
      </w:r>
      <w:r w:rsidRPr="00EB17BB">
        <w:t xml:space="preserve"> the need to reflect unavailability via outage cards is immaterial. If those enhancements are pursued by the distribution utility, then assets facing those limitations may no longer need to use outage cards. The present PRR merely seeks to clarify which nature of work should be utilized at the present time.</w:t>
      </w:r>
    </w:p>
    <w:p w14:paraId="142EE4EF" w14:textId="5F607706" w:rsidR="00AE6F70" w:rsidRDefault="00F758A5">
      <w:r w:rsidRPr="007D6C7E">
        <w:t xml:space="preserve">For resources shown for Flexible resource adequacy, the charging constraints routinely faced by some distribution-interconnected market-participating resources may and do affect the fulfillment of their resource adequacy obligations. The present PRR clarifies which nature of work to use in a specific scenario </w:t>
      </w:r>
      <w:proofErr w:type="gramStart"/>
      <w:r w:rsidRPr="007D6C7E">
        <w:t>in order to</w:t>
      </w:r>
      <w:proofErr w:type="gramEnd"/>
      <w:r w:rsidRPr="007D6C7E">
        <w:t xml:space="preserve"> enforce existing resource adequacy policy. </w:t>
      </w:r>
      <w:r w:rsidR="00AE6F70">
        <w:br w:type="page"/>
      </w:r>
    </w:p>
    <w:p w14:paraId="72288DB5" w14:textId="62173239" w:rsidR="00AE6F70" w:rsidRPr="00AE6F70" w:rsidRDefault="00C15915" w:rsidP="00AE6F70">
      <w:pPr>
        <w:jc w:val="center"/>
        <w:rPr>
          <w:b/>
          <w:bCs/>
        </w:rPr>
      </w:pPr>
      <w:r>
        <w:rPr>
          <w:b/>
          <w:bCs/>
        </w:rPr>
        <w:lastRenderedPageBreak/>
        <w:t xml:space="preserve">Responses to </w:t>
      </w:r>
      <w:r w:rsidR="00AE6F70" w:rsidRPr="00AE6F70">
        <w:rPr>
          <w:b/>
          <w:bCs/>
        </w:rPr>
        <w:t>Comments from CESA</w:t>
      </w:r>
    </w:p>
    <w:p w14:paraId="7C7573C4" w14:textId="77777777" w:rsidR="002F455F" w:rsidRDefault="002F455F" w:rsidP="002F455F">
      <w:r>
        <w:t xml:space="preserve">For resources shown for Flexible resource adequacy, the charging constraints routinely faced by some distribution-interconnected market-participating resources can affect the fulfillment of their resource adequacy obligations. </w:t>
      </w:r>
      <w:r w:rsidRPr="00F758A5">
        <w:t xml:space="preserve">The present PRR </w:t>
      </w:r>
      <w:r>
        <w:t xml:space="preserve">reinforced existing resource adequacy policy by clarifying </w:t>
      </w:r>
      <w:r w:rsidRPr="00F758A5">
        <w:t xml:space="preserve">which nature of work to use </w:t>
      </w:r>
      <w:r>
        <w:t>when storage resources have outages relating to charging limitations that are not caused by an outage on transmission or distribution elements</w:t>
      </w:r>
      <w:r w:rsidRPr="00F758A5">
        <w:t xml:space="preserve">. </w:t>
      </w:r>
    </w:p>
    <w:p w14:paraId="130A6473" w14:textId="318F0BF5" w:rsidR="007F07BB" w:rsidRDefault="007F07BB">
      <w:r>
        <w:t xml:space="preserve">Generally, a storage resource shown for Flexible resource adequacy will have a must-offer obligation for its full range, charge and discharge. To meet this requirement, the resource must be able to submit feasible bids during the assessment hours. Unavailability that would result in such bids to be unfeasible must be reported by outage cards using the appropriate nature of work. </w:t>
      </w:r>
    </w:p>
    <w:p w14:paraId="3DBD19EE" w14:textId="77777777" w:rsidR="007F07BB" w:rsidRDefault="007F07BB" w:rsidP="007F07BB">
      <w:r w:rsidRPr="00EB17BB">
        <w:t>Transmission-level resources are in fact not similarly situated relative to distribution-level market-participating resources. This is because transmission-level resources have interconnected in a manner that ensures delivery to the ISO-controlled grid whereas distribution-level market-participating resources have interconnected through a third party, the distribution utility</w:t>
      </w:r>
      <w:r>
        <w:t xml:space="preserve">. </w:t>
      </w:r>
      <w:r w:rsidRPr="00EB17BB">
        <w:t>As a result, the latter resources have different obligations (such as complying with both the ISO tariff and the relevant interconnection tariff of the applicable distribution utility) and constraints.</w:t>
      </w:r>
      <w:r>
        <w:t xml:space="preserve"> In so far as those differences affect availability, t</w:t>
      </w:r>
      <w:r w:rsidRPr="00F758A5">
        <w:t>he present PRR clarifies which nature of work to use in a specific scenario in order to enforce existing resource adequacy policy</w:t>
      </w:r>
      <w:r>
        <w:t xml:space="preserve"> since, f</w:t>
      </w:r>
      <w:r w:rsidRPr="00F758A5">
        <w:t xml:space="preserve">or resources shown for Flexible resource adequacy, the charging constraints routinely faced by some distribution-interconnected market-participating resources may and do affect the fulfillment of their resource adequacy obligations. </w:t>
      </w:r>
    </w:p>
    <w:p w14:paraId="25EE303B" w14:textId="658565A4" w:rsidR="007F07BB" w:rsidRDefault="007F07BB">
      <w:proofErr w:type="gramStart"/>
      <w:r>
        <w:t>The CAISO</w:t>
      </w:r>
      <w:proofErr w:type="gramEnd"/>
      <w:r>
        <w:t xml:space="preserve"> is aware of the relationship between certain biddable parameters and RAAIM and will continue to address these items in future processes. </w:t>
      </w:r>
    </w:p>
    <w:p w14:paraId="35711A8C" w14:textId="77777777" w:rsidR="007F07BB" w:rsidRDefault="007F07BB"/>
    <w:p w14:paraId="454423AA" w14:textId="77777777" w:rsidR="007F07BB" w:rsidRDefault="007F07BB">
      <w:pPr>
        <w:rPr>
          <w:b/>
          <w:bCs/>
        </w:rPr>
      </w:pPr>
      <w:r>
        <w:rPr>
          <w:b/>
          <w:bCs/>
        </w:rPr>
        <w:br w:type="page"/>
      </w:r>
    </w:p>
    <w:p w14:paraId="7159B1B5" w14:textId="1B53895A" w:rsidR="00AE6F70" w:rsidRPr="00AE6F70" w:rsidRDefault="00C15915" w:rsidP="00AE6F70">
      <w:pPr>
        <w:jc w:val="center"/>
        <w:rPr>
          <w:b/>
          <w:bCs/>
        </w:rPr>
      </w:pPr>
      <w:r>
        <w:rPr>
          <w:b/>
          <w:bCs/>
        </w:rPr>
        <w:lastRenderedPageBreak/>
        <w:t xml:space="preserve">Responses to </w:t>
      </w:r>
      <w:r w:rsidR="00AE6F70" w:rsidRPr="00AE6F70">
        <w:rPr>
          <w:b/>
          <w:bCs/>
        </w:rPr>
        <w:t>Comments from ENGIE NA</w:t>
      </w:r>
    </w:p>
    <w:p w14:paraId="63A97289" w14:textId="780FFF9A" w:rsidR="007F07BB" w:rsidRDefault="002F455F" w:rsidP="007F07BB">
      <w:r w:rsidRPr="002F455F">
        <w:t xml:space="preserve">For resources shown for Flexible resource adequacy, the charging constraints routinely faced by some distribution-interconnected market-participating resources can affect the fulfillment of their resource adequacy obligations. The present PRR reinforced existing resource adequacy policy by clarifying which nature of work to use when storage resources have outages relating to charging limitations that are not caused by an outage on transmission or distribution elements. </w:t>
      </w:r>
      <w:r w:rsidR="007F07BB">
        <w:t xml:space="preserve">Generally, a storage resource shown for Flexible resource adequacy will have a must-offer obligation for its full range, charge and discharge. To meet this requirement, the resource must be able to submit feasible bids during the assessment hours. Unavailability that would result in such bids to be unfeasible must be reported by outage cards using the appropriate nature of work. </w:t>
      </w:r>
    </w:p>
    <w:p w14:paraId="52746A9E" w14:textId="77777777" w:rsidR="007F07BB" w:rsidRDefault="007F07BB" w:rsidP="007F07BB">
      <w:r w:rsidRPr="00EB17BB">
        <w:t>Transmission-level resources are in fact not similarly situated relative to distribution-level market-participating resources. This is because transmission-level resources have interconnected in a manner that ensures delivery to the ISO-controlled grid whereas distribution-level market-participating resources have interconnected through a third party, the distribution utility</w:t>
      </w:r>
      <w:r>
        <w:t xml:space="preserve">. </w:t>
      </w:r>
      <w:r w:rsidRPr="00EB17BB">
        <w:t>As a result, the latter resources have different obligations (such as complying with both the ISO tariff and the relevant interconnection tariff of the applicable distribution utility) and constraints.</w:t>
      </w:r>
      <w:r>
        <w:t xml:space="preserve"> In so far as those differences affect availability, t</w:t>
      </w:r>
      <w:r w:rsidRPr="00F758A5">
        <w:t>he present PRR clarifies which nature of work to use in a specific scenario in order to enforce existing resource adequacy policy</w:t>
      </w:r>
      <w:r>
        <w:t xml:space="preserve"> since, f</w:t>
      </w:r>
      <w:r w:rsidRPr="00F758A5">
        <w:t xml:space="preserve">or resources shown for Flexible resource adequacy, the charging constraints routinely faced by some distribution-interconnected market-participating resources may and do affect the fulfillment of their resource adequacy obligations. </w:t>
      </w:r>
    </w:p>
    <w:p w14:paraId="2B641FEF" w14:textId="77777777" w:rsidR="007F07BB" w:rsidRDefault="007F07BB" w:rsidP="007F07BB">
      <w:proofErr w:type="gramStart"/>
      <w:r>
        <w:t>The CAISO</w:t>
      </w:r>
      <w:proofErr w:type="gramEnd"/>
      <w:r>
        <w:t xml:space="preserve"> is aware of the relationship between certain biddable parameters and RAAIM and will continue to address these items in future processes. </w:t>
      </w:r>
    </w:p>
    <w:p w14:paraId="081C9B0C" w14:textId="329FB195" w:rsidR="007F07BB" w:rsidRDefault="007F07BB" w:rsidP="00AE6F70">
      <w:r w:rsidRPr="00EB17BB">
        <w:t xml:space="preserve">The present PRR </w:t>
      </w:r>
      <w:r>
        <w:t>only</w:t>
      </w:r>
      <w:r w:rsidRPr="00EB17BB">
        <w:t xml:space="preserve"> seeks to clarify which nature of work should be utilized at the present time</w:t>
      </w:r>
      <w:r>
        <w:t xml:space="preserve"> regarding routine charging constraints faced by some distribution-interconnected market-participating storage resources</w:t>
      </w:r>
      <w:r w:rsidRPr="00EB17BB">
        <w:t>.</w:t>
      </w:r>
    </w:p>
    <w:sectPr w:rsidR="007F0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687F"/>
    <w:multiLevelType w:val="hybridMultilevel"/>
    <w:tmpl w:val="9A96D8AC"/>
    <w:lvl w:ilvl="0" w:tplc="EF5C24F2">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B2F5A"/>
    <w:multiLevelType w:val="hybridMultilevel"/>
    <w:tmpl w:val="9BDC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732206">
    <w:abstractNumId w:val="1"/>
  </w:num>
  <w:num w:numId="2" w16cid:durableId="162826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70"/>
    <w:rsid w:val="00031EEE"/>
    <w:rsid w:val="00094A8D"/>
    <w:rsid w:val="00160EAE"/>
    <w:rsid w:val="001860C4"/>
    <w:rsid w:val="002F455F"/>
    <w:rsid w:val="00630960"/>
    <w:rsid w:val="006B53FA"/>
    <w:rsid w:val="007D6C7E"/>
    <w:rsid w:val="007F07BB"/>
    <w:rsid w:val="00A15E90"/>
    <w:rsid w:val="00A23465"/>
    <w:rsid w:val="00A53C81"/>
    <w:rsid w:val="00AE6F70"/>
    <w:rsid w:val="00B62F84"/>
    <w:rsid w:val="00B73C50"/>
    <w:rsid w:val="00B972EB"/>
    <w:rsid w:val="00C15915"/>
    <w:rsid w:val="00CD13B9"/>
    <w:rsid w:val="00EB17BB"/>
    <w:rsid w:val="00F7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CE96"/>
  <w15:chartTrackingRefBased/>
  <w15:docId w15:val="{868875E3-DF0A-47C6-A6F6-EAAEA4D1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F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6F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6F7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6F7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6F7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6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7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6F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6F7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6F7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6F7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6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F70"/>
    <w:rPr>
      <w:rFonts w:eastAsiaTheme="majorEastAsia" w:cstheme="majorBidi"/>
      <w:color w:val="272727" w:themeColor="text1" w:themeTint="D8"/>
    </w:rPr>
  </w:style>
  <w:style w:type="paragraph" w:styleId="Title">
    <w:name w:val="Title"/>
    <w:basedOn w:val="Normal"/>
    <w:next w:val="Normal"/>
    <w:link w:val="TitleChar"/>
    <w:uiPriority w:val="10"/>
    <w:qFormat/>
    <w:rsid w:val="00AE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F70"/>
    <w:pPr>
      <w:spacing w:before="160"/>
      <w:jc w:val="center"/>
    </w:pPr>
    <w:rPr>
      <w:i/>
      <w:iCs/>
      <w:color w:val="404040" w:themeColor="text1" w:themeTint="BF"/>
    </w:rPr>
  </w:style>
  <w:style w:type="character" w:customStyle="1" w:styleId="QuoteChar">
    <w:name w:val="Quote Char"/>
    <w:basedOn w:val="DefaultParagraphFont"/>
    <w:link w:val="Quote"/>
    <w:uiPriority w:val="29"/>
    <w:rsid w:val="00AE6F70"/>
    <w:rPr>
      <w:i/>
      <w:iCs/>
      <w:color w:val="404040" w:themeColor="text1" w:themeTint="BF"/>
    </w:rPr>
  </w:style>
  <w:style w:type="paragraph" w:styleId="ListParagraph">
    <w:name w:val="List Paragraph"/>
    <w:basedOn w:val="Normal"/>
    <w:uiPriority w:val="34"/>
    <w:qFormat/>
    <w:rsid w:val="00AE6F70"/>
    <w:pPr>
      <w:ind w:left="720"/>
      <w:contextualSpacing/>
    </w:pPr>
  </w:style>
  <w:style w:type="character" w:styleId="IntenseEmphasis">
    <w:name w:val="Intense Emphasis"/>
    <w:basedOn w:val="DefaultParagraphFont"/>
    <w:uiPriority w:val="21"/>
    <w:qFormat/>
    <w:rsid w:val="00AE6F70"/>
    <w:rPr>
      <w:i/>
      <w:iCs/>
      <w:color w:val="2E74B5" w:themeColor="accent1" w:themeShade="BF"/>
    </w:rPr>
  </w:style>
  <w:style w:type="paragraph" w:styleId="IntenseQuote">
    <w:name w:val="Intense Quote"/>
    <w:basedOn w:val="Normal"/>
    <w:next w:val="Normal"/>
    <w:link w:val="IntenseQuoteChar"/>
    <w:uiPriority w:val="30"/>
    <w:qFormat/>
    <w:rsid w:val="00AE6F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6F70"/>
    <w:rPr>
      <w:i/>
      <w:iCs/>
      <w:color w:val="2E74B5" w:themeColor="accent1" w:themeShade="BF"/>
    </w:rPr>
  </w:style>
  <w:style w:type="character" w:styleId="IntenseReference">
    <w:name w:val="Intense Reference"/>
    <w:basedOn w:val="DefaultParagraphFont"/>
    <w:uiPriority w:val="32"/>
    <w:qFormat/>
    <w:rsid w:val="00AE6F70"/>
    <w:rPr>
      <w:b/>
      <w:bCs/>
      <w:smallCaps/>
      <w:color w:val="2E74B5" w:themeColor="accent1" w:themeShade="BF"/>
      <w:spacing w:val="5"/>
    </w:rPr>
  </w:style>
  <w:style w:type="character" w:styleId="CommentReference">
    <w:name w:val="annotation reference"/>
    <w:basedOn w:val="DefaultParagraphFont"/>
    <w:uiPriority w:val="99"/>
    <w:semiHidden/>
    <w:unhideWhenUsed/>
    <w:rsid w:val="006B53FA"/>
    <w:rPr>
      <w:sz w:val="16"/>
      <w:szCs w:val="16"/>
    </w:rPr>
  </w:style>
  <w:style w:type="paragraph" w:styleId="CommentText">
    <w:name w:val="annotation text"/>
    <w:basedOn w:val="Normal"/>
    <w:link w:val="CommentTextChar"/>
    <w:uiPriority w:val="99"/>
    <w:unhideWhenUsed/>
    <w:rsid w:val="006B53FA"/>
    <w:pPr>
      <w:spacing w:line="240" w:lineRule="auto"/>
    </w:pPr>
    <w:rPr>
      <w:sz w:val="20"/>
      <w:szCs w:val="20"/>
    </w:rPr>
  </w:style>
  <w:style w:type="character" w:customStyle="1" w:styleId="CommentTextChar">
    <w:name w:val="Comment Text Char"/>
    <w:basedOn w:val="DefaultParagraphFont"/>
    <w:link w:val="CommentText"/>
    <w:uiPriority w:val="99"/>
    <w:rsid w:val="006B53FA"/>
    <w:rPr>
      <w:sz w:val="20"/>
      <w:szCs w:val="20"/>
    </w:rPr>
  </w:style>
  <w:style w:type="paragraph" w:styleId="CommentSubject">
    <w:name w:val="annotation subject"/>
    <w:basedOn w:val="CommentText"/>
    <w:next w:val="CommentText"/>
    <w:link w:val="CommentSubjectChar"/>
    <w:uiPriority w:val="99"/>
    <w:semiHidden/>
    <w:unhideWhenUsed/>
    <w:rsid w:val="006B53FA"/>
    <w:rPr>
      <w:b/>
      <w:bCs/>
    </w:rPr>
  </w:style>
  <w:style w:type="character" w:customStyle="1" w:styleId="CommentSubjectChar">
    <w:name w:val="Comment Subject Char"/>
    <w:basedOn w:val="CommentTextChar"/>
    <w:link w:val="CommentSubject"/>
    <w:uiPriority w:val="99"/>
    <w:semiHidden/>
    <w:rsid w:val="006B53FA"/>
    <w:rPr>
      <w:b/>
      <w:bCs/>
      <w:sz w:val="20"/>
      <w:szCs w:val="20"/>
    </w:rPr>
  </w:style>
  <w:style w:type="paragraph" w:styleId="Revision">
    <w:name w:val="Revision"/>
    <w:hidden/>
    <w:uiPriority w:val="99"/>
    <w:semiHidden/>
    <w:rsid w:val="00160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5D3B0-AAD9-4CF1-9583-7D249A3F607E}">
  <ds:schemaRefs>
    <ds:schemaRef ds:uri="http://schemas.openxmlformats.org/officeDocument/2006/bibliography"/>
  </ds:schemaRefs>
</ds:datastoreItem>
</file>

<file path=customXml/itemProps2.xml><?xml version="1.0" encoding="utf-8"?>
<ds:datastoreItem xmlns:ds="http://schemas.openxmlformats.org/officeDocument/2006/customXml" ds:itemID="{ABB5C3BF-32E2-45CC-8986-914C809ECFE8}"/>
</file>

<file path=customXml/itemProps3.xml><?xml version="1.0" encoding="utf-8"?>
<ds:datastoreItem xmlns:ds="http://schemas.openxmlformats.org/officeDocument/2006/customXml" ds:itemID="{54F38946-F7BA-439C-AE79-5C03530FED1F}"/>
</file>

<file path=customXml/itemProps4.xml><?xml version="1.0" encoding="utf-8"?>
<ds:datastoreItem xmlns:ds="http://schemas.openxmlformats.org/officeDocument/2006/customXml" ds:itemID="{ADF8C77A-6D8F-4CAE-A21F-8DA505E99BA1}"/>
</file>

<file path=docProps/app.xml><?xml version="1.0" encoding="utf-8"?>
<Properties xmlns="http://schemas.openxmlformats.org/officeDocument/2006/extended-properties" xmlns:vt="http://schemas.openxmlformats.org/officeDocument/2006/docPropsVTypes">
  <Template>Normal</Template>
  <TotalTime>3</TotalTime>
  <Pages>7</Pages>
  <Words>2385</Words>
  <Characters>13596</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California ISO</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Duenas Melendez, Sergio</dc:creator>
  <cp:keywords/>
  <dc:description/>
  <cp:lastModifiedBy>Duenas Melendez, Sergio</cp:lastModifiedBy>
  <cp:revision>2</cp:revision>
  <dcterms:created xsi:type="dcterms:W3CDTF">2026-01-27T18:42:00Z</dcterms:created>
  <dcterms:modified xsi:type="dcterms:W3CDTF">2026-01-27T18:42:00Z</dcterms:modified>
</cp:coreProperties>
</file>